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195" w:lineRule="atLeas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195" w:lineRule="atLeas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Информация о контрактах, заключенных с физическими лицами по федеральному статистическому обследованию 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center"/>
        <w:spacing w:after="0" w:line="195" w:lineRule="atLeas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октябре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202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center"/>
        <w:spacing w:after="0" w:line="195" w:lineRule="atLeas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tbl>
      <w:tblPr>
        <w:tblStyle w:val="621"/>
        <w:tblW w:w="149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3119"/>
        <w:gridCol w:w="1559"/>
        <w:gridCol w:w="1525"/>
        <w:gridCol w:w="1525"/>
        <w:gridCol w:w="1736"/>
        <w:gridCol w:w="1417"/>
        <w:gridCol w:w="1560"/>
      </w:tblGrid>
      <w:tr>
        <w:trPr>
          <w:trHeight w:val="259"/>
        </w:trPr>
        <w:tc>
          <w:tcPr>
            <w:tcW w:w="25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195" w:lineRule="atLeas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Название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pacing w:line="195" w:lineRule="atLeas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обследования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195" w:lineRule="atLeas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Объект закупки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pacing w:line="195" w:lineRule="atLeas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(содержание работ)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195" w:lineRule="atLeas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Количество заключенных контрактов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gridSpan w:val="4"/>
            <w:tcW w:w="620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Из них:</w:t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Общая стоимость заключенных контрактов, рублей</w:t>
            </w:r>
            <w:r/>
          </w:p>
        </w:tc>
      </w:tr>
      <w:tr>
        <w:trPr>
          <w:trHeight w:val="690"/>
        </w:trPr>
        <w:tc>
          <w:tcPr>
            <w:tcW w:w="255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195" w:lineRule="atLeas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195" w:lineRule="atLeas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195" w:lineRule="atLeas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jc w:val="center"/>
              <w:spacing w:line="195" w:lineRule="atLeas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Количество исполненных контрактов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jc w:val="center"/>
              <w:spacing w:line="195" w:lineRule="atLeas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Количество контрак</w:t>
            </w:r>
            <w:r>
              <w:rPr>
                <w:rFonts w:ascii="Times New Roman" w:hAnsi="Times New Roman" w:eastAsia="Times New Roman" w:cs="Times New Roman"/>
              </w:rPr>
              <w:t xml:space="preserve">тов </w:t>
            </w:r>
            <w:r>
              <w:rPr>
                <w:rFonts w:ascii="Times New Roman" w:hAnsi="Times New Roman" w:eastAsia="Times New Roman" w:cs="Times New Roman"/>
              </w:rPr>
              <w:t xml:space="preserve">с измененными условиями контрак</w:t>
            </w:r>
            <w:r>
              <w:rPr>
                <w:rFonts w:ascii="Times New Roman" w:hAnsi="Times New Roman" w:eastAsia="Times New Roman" w:cs="Times New Roman"/>
              </w:rPr>
              <w:t xml:space="preserve">та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736" w:type="dxa"/>
            <w:vAlign w:val="center"/>
            <w:textDirection w:val="lrTb"/>
            <w:noWrap w:val="false"/>
          </w:tcPr>
          <w:p>
            <w:pPr>
              <w:jc w:val="center"/>
              <w:spacing w:line="195" w:lineRule="atLeas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Количество контрак</w:t>
            </w:r>
            <w:r>
              <w:rPr>
                <w:rFonts w:ascii="Times New Roman" w:hAnsi="Times New Roman" w:eastAsia="Times New Roman" w:cs="Times New Roman"/>
              </w:rPr>
              <w:t xml:space="preserve">тов с</w:t>
            </w:r>
            <w:r>
              <w:rPr>
                <w:rFonts w:ascii="Times New Roman" w:hAnsi="Times New Roman" w:eastAsia="Times New Roman" w:cs="Times New Roman"/>
              </w:rPr>
              <w:t xml:space="preserve"> ненадлежащим исполнением обяза</w:t>
            </w:r>
            <w:r>
              <w:rPr>
                <w:rFonts w:ascii="Times New Roman" w:hAnsi="Times New Roman" w:eastAsia="Times New Roman" w:cs="Times New Roman"/>
              </w:rPr>
              <w:t xml:space="preserve">тельств, предусмот</w:t>
            </w:r>
            <w:r>
              <w:rPr>
                <w:rFonts w:ascii="Times New Roman" w:hAnsi="Times New Roman" w:eastAsia="Times New Roman" w:cs="Times New Roman"/>
              </w:rPr>
              <w:t xml:space="preserve">ренных контрактом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="195" w:lineRule="atLeas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Количество расторг</w:t>
            </w:r>
            <w:r>
              <w:rPr>
                <w:rFonts w:ascii="Times New Roman" w:hAnsi="Times New Roman" w:eastAsia="Times New Roman" w:cs="Times New Roman"/>
              </w:rPr>
              <w:t xml:space="preserve">нутых контрактов с указанием причин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56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</w:tr>
      <w:tr>
        <w:trPr>
          <w:trHeight w:val="409"/>
        </w:trPr>
        <w:tc>
          <w:tcPr>
            <w:gridSpan w:val="8"/>
            <w:tcW w:w="149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Источник финансирования: ср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едства федерального бюджета 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157 0113 15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РЗ 08300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 244</w:t>
            </w:r>
            <w:r>
              <w:rPr>
                <w:rFonts w:ascii="Times New Roman" w:hAnsi="Times New Roman" w:eastAsia="Times New Roman" w:cs="Times New Roman"/>
                <w:b/>
              </w:rPr>
            </w:r>
          </w:p>
        </w:tc>
      </w:tr>
      <w:tr>
        <w:trPr>
          <w:trHeight w:val="690"/>
        </w:trPr>
        <w:tc>
          <w:tcPr>
            <w:tcW w:w="25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Выборочное наблюдение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состояния здоровья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населения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ind w:right="34"/>
              <w:spacing w:line="195" w:lineRule="atLeas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Проведение формального и логического контроля</w:t>
            </w:r>
            <w:r>
              <w:rPr>
                <w:rFonts w:ascii="Times New Roman" w:hAnsi="Times New Roman" w:eastAsia="Times New Roman" w:cs="Times New Roman"/>
              </w:rPr>
              <w:t xml:space="preserve"> первичных статистических данных</w:t>
            </w:r>
            <w:r>
              <w:rPr>
                <w:rFonts w:ascii="Times New Roman" w:hAnsi="Times New Roman" w:eastAsia="Times New Roman" w:cs="Times New Roman"/>
              </w:rPr>
              <w:t xml:space="preserve"> (оператор формального и логического контроля</w:t>
            </w:r>
            <w:r>
              <w:rPr>
                <w:rFonts w:ascii="Times New Roman" w:hAnsi="Times New Roman" w:eastAsia="Times New Roman" w:cs="Times New Roman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jc w:val="center"/>
              <w:spacing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jc w:val="center"/>
              <w:spacing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36" w:type="dxa"/>
            <w:vAlign w:val="center"/>
            <w:textDirection w:val="lrTb"/>
            <w:noWrap w:val="false"/>
          </w:tcPr>
          <w:p>
            <w:pPr>
              <w:jc w:val="center"/>
              <w:spacing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10450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371"/>
        </w:trPr>
        <w:tc>
          <w:tcPr>
            <w:gridSpan w:val="2"/>
            <w:tcW w:w="5672" w:type="dxa"/>
            <w:vAlign w:val="center"/>
            <w:textDirection w:val="lrTb"/>
            <w:noWrap w:val="false"/>
          </w:tcPr>
          <w:p>
            <w:pPr>
              <w:jc w:val="right"/>
              <w:spacing w:line="195" w:lineRule="atLeas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line="195" w:lineRule="atLeas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jc w:val="center"/>
              <w:spacing w:line="195" w:lineRule="atLeas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jc w:val="center"/>
              <w:spacing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36" w:type="dxa"/>
            <w:vAlign w:val="center"/>
            <w:textDirection w:val="lrTb"/>
            <w:noWrap w:val="false"/>
          </w:tcPr>
          <w:p>
            <w:pPr>
              <w:jc w:val="center"/>
              <w:spacing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="195" w:lineRule="atLeas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10450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spacing w:after="105" w:line="24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eastAsia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851" w:right="851" w:bottom="426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22" w:customStyle="1">
    <w:name w:val="Font Style41"/>
    <w:basedOn w:val="618"/>
    <w:uiPriority w:val="99"/>
    <w:rPr>
      <w:rFonts w:ascii="Times New Roman" w:hAnsi="Times New Roman" w:cs="Times New Roman"/>
      <w:sz w:val="24"/>
      <w:szCs w:val="24"/>
    </w:rPr>
  </w:style>
  <w:style w:type="paragraph" w:styleId="623">
    <w:name w:val="Balloon Text"/>
    <w:basedOn w:val="617"/>
    <w:link w:val="62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4" w:customStyle="1">
    <w:name w:val="Текст выноски Знак"/>
    <w:basedOn w:val="618"/>
    <w:link w:val="62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Калининградстат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p39_SemenovaNF</dc:creator>
  <cp:lastModifiedBy>Гулина Е.А., Заместитель начальника отдела</cp:lastModifiedBy>
  <cp:revision>9</cp:revision>
  <dcterms:created xsi:type="dcterms:W3CDTF">2023-10-04T09:13:00Z</dcterms:created>
  <dcterms:modified xsi:type="dcterms:W3CDTF">2024-10-04T11:57:09Z</dcterms:modified>
</cp:coreProperties>
</file>